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0F15" w14:textId="2235EAC9" w:rsidR="00162C77" w:rsidRPr="0080495F" w:rsidRDefault="00162C77" w:rsidP="00162C77">
      <w:pPr>
        <w:pStyle w:val="Standard"/>
        <w:spacing w:before="0"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DB0042">
        <w:rPr>
          <w:rFonts w:ascii="Cambria" w:hAnsi="Cambria"/>
          <w:b/>
          <w:bCs/>
          <w:sz w:val="24"/>
          <w:szCs w:val="24"/>
        </w:rPr>
        <w:t xml:space="preserve">PAUTA DA </w:t>
      </w:r>
      <w:r>
        <w:rPr>
          <w:rFonts w:ascii="Cambria" w:hAnsi="Cambria"/>
          <w:b/>
          <w:bCs/>
          <w:sz w:val="24"/>
          <w:szCs w:val="24"/>
        </w:rPr>
        <w:t>23</w:t>
      </w:r>
      <w:r w:rsidRPr="00DB0042">
        <w:rPr>
          <w:rFonts w:ascii="Cambria" w:hAnsi="Cambria"/>
          <w:b/>
          <w:bCs/>
          <w:sz w:val="24"/>
          <w:szCs w:val="24"/>
        </w:rPr>
        <w:t>ª REUNIÃO DA</w:t>
      </w:r>
      <w:r>
        <w:rPr>
          <w:rFonts w:ascii="Cambria" w:hAnsi="Cambria"/>
          <w:b/>
          <w:bCs/>
          <w:sz w:val="24"/>
          <w:szCs w:val="24"/>
        </w:rPr>
        <w:t>S</w:t>
      </w:r>
      <w:r w:rsidRPr="00DB0042">
        <w:rPr>
          <w:rFonts w:ascii="Cambria" w:hAnsi="Cambria"/>
          <w:b/>
          <w:bCs/>
          <w:sz w:val="24"/>
          <w:szCs w:val="24"/>
        </w:rPr>
        <w:t xml:space="preserve"> COMISSÕES – CÂMARA MUNICIPAL DE PIRAÍ/RJ</w:t>
      </w:r>
    </w:p>
    <w:p w14:paraId="3AF4661B" w14:textId="77777777" w:rsidR="00162C77" w:rsidRPr="004C5586" w:rsidRDefault="00162C77" w:rsidP="00162C77">
      <w:pPr>
        <w:pStyle w:val="Standard"/>
        <w:spacing w:before="0" w:after="0" w:line="240" w:lineRule="auto"/>
        <w:jc w:val="center"/>
        <w:rPr>
          <w:sz w:val="14"/>
          <w:szCs w:val="14"/>
        </w:rPr>
      </w:pPr>
    </w:p>
    <w:p w14:paraId="4CFDEC9B" w14:textId="77777777" w:rsidR="00162C77" w:rsidRPr="00891B0E" w:rsidRDefault="00162C77" w:rsidP="00162C77">
      <w:pPr>
        <w:pStyle w:val="Standard"/>
        <w:spacing w:before="0"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hyperlink r:id="rId7" w:history="1">
        <w:r w:rsidRPr="00162C77">
          <w:rPr>
            <w:rStyle w:val="Hyperlink"/>
            <w:rFonts w:ascii="Cambria" w:hAnsi="Cambria"/>
            <w:b/>
            <w:bCs/>
            <w:color w:val="000000" w:themeColor="text1"/>
            <w:sz w:val="28"/>
            <w:szCs w:val="28"/>
            <w:u w:val="none"/>
          </w:rPr>
          <w:t xml:space="preserve">Comissão de </w:t>
        </w:r>
      </w:hyperlink>
      <w:r w:rsidRPr="00891B0E">
        <w:rPr>
          <w:rFonts w:ascii="Cambria" w:hAnsi="Cambria"/>
          <w:b/>
          <w:bCs/>
          <w:sz w:val="28"/>
          <w:szCs w:val="28"/>
        </w:rPr>
        <w:t>Legislação, Justiça e Redação Final</w:t>
      </w:r>
    </w:p>
    <w:p w14:paraId="446AC522" w14:textId="77777777" w:rsidR="00162C77" w:rsidRPr="00891B0E" w:rsidRDefault="00162C77" w:rsidP="00162C77">
      <w:pPr>
        <w:pStyle w:val="Standard"/>
        <w:spacing w:before="0" w:after="0" w:line="240" w:lineRule="auto"/>
        <w:ind w:left="360"/>
        <w:jc w:val="center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891B0E">
        <w:rPr>
          <w:rFonts w:ascii="Cambria" w:hAnsi="Cambria"/>
          <w:b/>
          <w:bCs/>
          <w:color w:val="000000" w:themeColor="text1"/>
          <w:sz w:val="28"/>
          <w:szCs w:val="28"/>
        </w:rPr>
        <w:t>Comissão de Finanças e Orçamento</w:t>
      </w:r>
    </w:p>
    <w:p w14:paraId="21493AC9" w14:textId="77777777" w:rsidR="00162C77" w:rsidRDefault="00162C77" w:rsidP="00162C77">
      <w:pPr>
        <w:pStyle w:val="Standard"/>
        <w:spacing w:before="0" w:after="0" w:line="240" w:lineRule="auto"/>
        <w:rPr>
          <w:rFonts w:ascii="Cambria" w:hAnsi="Cambria"/>
          <w:b/>
          <w:bCs/>
        </w:rPr>
      </w:pPr>
    </w:p>
    <w:p w14:paraId="5CE82E9E" w14:textId="77777777" w:rsidR="00162C77" w:rsidRDefault="00162C77" w:rsidP="00162C77">
      <w:pPr>
        <w:pStyle w:val="Standard"/>
        <w:spacing w:before="0" w:after="0" w:line="240" w:lineRule="auto"/>
        <w:rPr>
          <w:rFonts w:ascii="Cambria" w:hAnsi="Cambria"/>
          <w:b/>
          <w:bCs/>
        </w:rPr>
      </w:pPr>
    </w:p>
    <w:p w14:paraId="1160EE8A" w14:textId="51D7BFDC" w:rsidR="00162C77" w:rsidRPr="00356065" w:rsidRDefault="00162C77" w:rsidP="00162C77">
      <w:pPr>
        <w:pStyle w:val="Standard"/>
        <w:spacing w:before="0" w:after="0" w:line="240" w:lineRule="auto"/>
        <w:rPr>
          <w:rFonts w:ascii="Cambria" w:hAnsi="Cambria"/>
        </w:rPr>
      </w:pPr>
      <w:r w:rsidRPr="00356065">
        <w:rPr>
          <w:rFonts w:ascii="Cambria" w:hAnsi="Cambria"/>
          <w:b/>
          <w:bCs/>
        </w:rPr>
        <w:t>Local:</w:t>
      </w:r>
      <w:r w:rsidRPr="00356065">
        <w:rPr>
          <w:rFonts w:ascii="Cambria" w:hAnsi="Cambria"/>
        </w:rPr>
        <w:t xml:space="preserve"> Sala das Comissões – Câmara Municipal de Piraí-RJ</w:t>
      </w:r>
    </w:p>
    <w:p w14:paraId="4EABDC7A" w14:textId="300D60E9" w:rsidR="00162C77" w:rsidRPr="00356065" w:rsidRDefault="00162C77" w:rsidP="00162C77">
      <w:pPr>
        <w:pStyle w:val="Standard"/>
        <w:spacing w:before="0" w:after="0" w:line="240" w:lineRule="auto"/>
        <w:rPr>
          <w:rFonts w:ascii="Cambria" w:hAnsi="Cambria"/>
        </w:rPr>
      </w:pPr>
      <w:r w:rsidRPr="00356065">
        <w:rPr>
          <w:rFonts w:ascii="Cambria" w:hAnsi="Cambria"/>
          <w:b/>
          <w:bCs/>
        </w:rPr>
        <w:t>Data:</w:t>
      </w:r>
      <w:r w:rsidRPr="00356065">
        <w:rPr>
          <w:rFonts w:ascii="Cambria" w:hAnsi="Cambria"/>
        </w:rPr>
        <w:t xml:space="preserve"> </w:t>
      </w:r>
      <w:r>
        <w:rPr>
          <w:rFonts w:ascii="Cambria" w:hAnsi="Cambria"/>
        </w:rPr>
        <w:t>29</w:t>
      </w:r>
      <w:r w:rsidRPr="00356065">
        <w:rPr>
          <w:rFonts w:ascii="Cambria" w:hAnsi="Cambria"/>
        </w:rPr>
        <w:t>/</w:t>
      </w:r>
      <w:r>
        <w:rPr>
          <w:rFonts w:ascii="Cambria" w:hAnsi="Cambria"/>
        </w:rPr>
        <w:t>10</w:t>
      </w:r>
      <w:r w:rsidRPr="00356065">
        <w:rPr>
          <w:rFonts w:ascii="Cambria" w:hAnsi="Cambria"/>
        </w:rPr>
        <w:t>/2025</w:t>
      </w:r>
    </w:p>
    <w:p w14:paraId="323624F0" w14:textId="4A08129F" w:rsidR="00162C77" w:rsidRDefault="00162C77" w:rsidP="00162C77">
      <w:pPr>
        <w:pStyle w:val="Standard"/>
        <w:spacing w:before="0" w:after="0" w:line="240" w:lineRule="auto"/>
        <w:rPr>
          <w:rFonts w:ascii="Cambria" w:hAnsi="Cambria"/>
        </w:rPr>
      </w:pPr>
      <w:r w:rsidRPr="00356065">
        <w:rPr>
          <w:rFonts w:ascii="Cambria" w:hAnsi="Cambria"/>
          <w:b/>
          <w:bCs/>
        </w:rPr>
        <w:t>Horário:</w:t>
      </w:r>
      <w:r w:rsidRPr="00356065">
        <w:rPr>
          <w:rFonts w:ascii="Cambria" w:hAnsi="Cambria"/>
        </w:rPr>
        <w:t xml:space="preserve"> </w:t>
      </w:r>
      <w:r>
        <w:rPr>
          <w:rFonts w:ascii="Cambria" w:hAnsi="Cambria"/>
        </w:rPr>
        <w:t>08</w:t>
      </w:r>
      <w:r w:rsidRPr="00356065">
        <w:rPr>
          <w:rFonts w:ascii="Cambria" w:hAnsi="Cambria"/>
        </w:rPr>
        <w:t xml:space="preserve"> horas</w:t>
      </w:r>
    </w:p>
    <w:p w14:paraId="6233E540" w14:textId="77777777" w:rsidR="00162C77" w:rsidRPr="00FD1D14" w:rsidRDefault="00162C77" w:rsidP="00162C77">
      <w:pPr>
        <w:pStyle w:val="Standard"/>
        <w:spacing w:before="0" w:after="0" w:line="240" w:lineRule="auto"/>
        <w:rPr>
          <w:rFonts w:ascii="Cambria" w:hAnsi="Cambria"/>
        </w:rPr>
      </w:pPr>
    </w:p>
    <w:p w14:paraId="05B5F488" w14:textId="3072B5E3" w:rsidR="00162C77" w:rsidRPr="00591AEE" w:rsidRDefault="00162C77" w:rsidP="00162C77">
      <w:pPr>
        <w:pStyle w:val="Standard"/>
        <w:spacing w:before="0" w:line="240" w:lineRule="auto"/>
        <w:rPr>
          <w:rFonts w:ascii="Cambria" w:hAnsi="Cambria"/>
          <w:b/>
          <w:bCs/>
        </w:rPr>
      </w:pPr>
      <w:r w:rsidRPr="00591AEE">
        <w:rPr>
          <w:rFonts w:ascii="Cambria" w:hAnsi="Cambria"/>
          <w:b/>
          <w:bCs/>
        </w:rPr>
        <w:t>TEMA</w:t>
      </w:r>
      <w:r>
        <w:rPr>
          <w:rFonts w:ascii="Cambria" w:hAnsi="Cambria"/>
          <w:b/>
          <w:bCs/>
        </w:rPr>
        <w:t>S</w:t>
      </w:r>
    </w:p>
    <w:p w14:paraId="2E8CE95B" w14:textId="238DC723" w:rsidR="00162C77" w:rsidRDefault="00162C77" w:rsidP="00162C77">
      <w:pPr>
        <w:pStyle w:val="Standard"/>
        <w:spacing w:line="240" w:lineRule="auto"/>
        <w:jc w:val="both"/>
        <w:rPr>
          <w:rFonts w:ascii="Cambria" w:hAnsi="Cambria"/>
        </w:rPr>
      </w:pPr>
      <w:r w:rsidRPr="00303BB5">
        <w:rPr>
          <w:rFonts w:ascii="Cambria" w:hAnsi="Cambria"/>
          <w:b/>
          <w:bCs/>
        </w:rPr>
        <w:t>I</w:t>
      </w:r>
      <w:r>
        <w:rPr>
          <w:rFonts w:ascii="Cambria" w:hAnsi="Cambria"/>
          <w:b/>
          <w:bCs/>
        </w:rPr>
        <w:t xml:space="preserve"> </w:t>
      </w:r>
      <w:r w:rsidRPr="00303BB5">
        <w:rPr>
          <w:rFonts w:ascii="Cambria" w:hAnsi="Cambria"/>
          <w:b/>
          <w:bCs/>
        </w:rPr>
        <w:t>–</w:t>
      </w:r>
      <w:r>
        <w:rPr>
          <w:rFonts w:ascii="Cambria" w:hAnsi="Cambria"/>
        </w:rPr>
        <w:t xml:space="preserve"> </w:t>
      </w:r>
      <w:r w:rsidRPr="002F5482">
        <w:rPr>
          <w:rFonts w:ascii="Cambria" w:hAnsi="Cambria"/>
          <w:b/>
          <w:bCs/>
        </w:rPr>
        <w:t xml:space="preserve">PL Nº </w:t>
      </w:r>
      <w:r>
        <w:rPr>
          <w:rFonts w:ascii="Cambria" w:hAnsi="Cambria"/>
          <w:b/>
          <w:bCs/>
        </w:rPr>
        <w:t>105</w:t>
      </w:r>
      <w:r w:rsidRPr="002F5482">
        <w:rPr>
          <w:rFonts w:ascii="Cambria" w:hAnsi="Cambria"/>
          <w:b/>
          <w:bCs/>
        </w:rPr>
        <w:t>/2025</w:t>
      </w:r>
      <w:r>
        <w:rPr>
          <w:rFonts w:ascii="Cambria" w:hAnsi="Cambria"/>
        </w:rPr>
        <w:t xml:space="preserve"> – </w:t>
      </w:r>
      <w:r w:rsidRPr="00162C77">
        <w:rPr>
          <w:rFonts w:ascii="Cambria" w:hAnsi="Cambria"/>
        </w:rPr>
        <w:t>Autoriza a abertura de crédito adicional suplementar</w:t>
      </w:r>
      <w:r w:rsidRPr="00327BD2">
        <w:rPr>
          <w:rFonts w:ascii="Cambria" w:hAnsi="Cambria"/>
        </w:rPr>
        <w:t>.</w:t>
      </w:r>
    </w:p>
    <w:p w14:paraId="6EE11622" w14:textId="77777777" w:rsidR="00162C77" w:rsidRPr="00162C77" w:rsidRDefault="00162C77" w:rsidP="00162C77">
      <w:pPr>
        <w:pStyle w:val="Standard"/>
        <w:numPr>
          <w:ilvl w:val="0"/>
          <w:numId w:val="3"/>
        </w:numPr>
        <w:spacing w:before="0" w:after="0" w:line="240" w:lineRule="auto"/>
        <w:jc w:val="both"/>
        <w:rPr>
          <w:rFonts w:ascii="Cambria" w:hAnsi="Cambria"/>
          <w:b/>
          <w:bCs/>
          <w:color w:val="000000" w:themeColor="text1"/>
        </w:rPr>
      </w:pPr>
      <w:hyperlink r:id="rId8" w:history="1">
        <w:r w:rsidRPr="00162C77">
          <w:rPr>
            <w:rStyle w:val="Hyperlink"/>
            <w:rFonts w:ascii="Cambria" w:hAnsi="Cambria"/>
            <w:b/>
            <w:bCs/>
            <w:color w:val="000000" w:themeColor="text1"/>
            <w:u w:val="none"/>
          </w:rPr>
          <w:t>Comissão de Legislação, Justiça e Redação Final</w:t>
        </w:r>
      </w:hyperlink>
    </w:p>
    <w:p w14:paraId="4C1AFA88" w14:textId="77777777" w:rsidR="00162C77" w:rsidRPr="00014D42" w:rsidRDefault="00162C77" w:rsidP="00162C77">
      <w:pPr>
        <w:pStyle w:val="Standard"/>
        <w:numPr>
          <w:ilvl w:val="0"/>
          <w:numId w:val="3"/>
        </w:numPr>
        <w:spacing w:before="0" w:line="240" w:lineRule="auto"/>
        <w:jc w:val="both"/>
        <w:rPr>
          <w:rFonts w:ascii="Cambria" w:hAnsi="Cambria"/>
          <w:b/>
          <w:bCs/>
          <w:color w:val="000000" w:themeColor="text1"/>
        </w:rPr>
      </w:pPr>
      <w:hyperlink r:id="rId9" w:history="1">
        <w:r w:rsidRPr="00162C77">
          <w:rPr>
            <w:rStyle w:val="Hyperlink"/>
            <w:rFonts w:ascii="Cambria" w:hAnsi="Cambria"/>
            <w:b/>
            <w:bCs/>
            <w:color w:val="000000" w:themeColor="text1"/>
            <w:u w:val="none"/>
          </w:rPr>
          <w:t>Comissão de Finanças</w:t>
        </w:r>
      </w:hyperlink>
      <w:r w:rsidRPr="00162C77">
        <w:rPr>
          <w:rFonts w:ascii="Cambria" w:hAnsi="Cambria"/>
          <w:b/>
          <w:bCs/>
        </w:rPr>
        <w:t xml:space="preserve"> e Orçamento</w:t>
      </w:r>
    </w:p>
    <w:p w14:paraId="0A4BFEFB" w14:textId="7C9B192B" w:rsidR="00014D42" w:rsidRDefault="00014D42" w:rsidP="00014D42">
      <w:pPr>
        <w:pStyle w:val="Standard"/>
        <w:spacing w:line="240" w:lineRule="auto"/>
        <w:jc w:val="both"/>
        <w:rPr>
          <w:rFonts w:ascii="Cambria" w:hAnsi="Cambria"/>
        </w:rPr>
      </w:pPr>
      <w:r w:rsidRPr="00303BB5">
        <w:rPr>
          <w:rFonts w:ascii="Cambria" w:hAnsi="Cambria"/>
          <w:b/>
          <w:bCs/>
        </w:rPr>
        <w:t>I</w:t>
      </w:r>
      <w:r>
        <w:rPr>
          <w:rFonts w:ascii="Cambria" w:hAnsi="Cambria"/>
          <w:b/>
          <w:bCs/>
        </w:rPr>
        <w:t>I</w:t>
      </w:r>
      <w:r>
        <w:rPr>
          <w:rFonts w:ascii="Cambria" w:hAnsi="Cambria"/>
          <w:b/>
          <w:bCs/>
        </w:rPr>
        <w:t xml:space="preserve"> </w:t>
      </w:r>
      <w:r w:rsidRPr="00303BB5">
        <w:rPr>
          <w:rFonts w:ascii="Cambria" w:hAnsi="Cambria"/>
          <w:b/>
          <w:bCs/>
        </w:rPr>
        <w:t>–</w:t>
      </w:r>
      <w:r>
        <w:rPr>
          <w:rFonts w:ascii="Cambria" w:hAnsi="Cambria"/>
        </w:rPr>
        <w:t xml:space="preserve"> </w:t>
      </w:r>
      <w:r w:rsidRPr="002F5482">
        <w:rPr>
          <w:rFonts w:ascii="Cambria" w:hAnsi="Cambria"/>
          <w:b/>
          <w:bCs/>
        </w:rPr>
        <w:t xml:space="preserve">PL Nº </w:t>
      </w:r>
      <w:r>
        <w:rPr>
          <w:rFonts w:ascii="Cambria" w:hAnsi="Cambria"/>
          <w:b/>
          <w:bCs/>
        </w:rPr>
        <w:t>10</w:t>
      </w:r>
      <w:r>
        <w:rPr>
          <w:rFonts w:ascii="Cambria" w:hAnsi="Cambria"/>
          <w:b/>
          <w:bCs/>
        </w:rPr>
        <w:t>6</w:t>
      </w:r>
      <w:r w:rsidRPr="002F5482">
        <w:rPr>
          <w:rFonts w:ascii="Cambria" w:hAnsi="Cambria"/>
          <w:b/>
          <w:bCs/>
        </w:rPr>
        <w:t>/2025</w:t>
      </w:r>
      <w:r>
        <w:rPr>
          <w:rFonts w:ascii="Cambria" w:hAnsi="Cambria"/>
        </w:rPr>
        <w:t xml:space="preserve"> – </w:t>
      </w:r>
      <w:r w:rsidRPr="00162C77">
        <w:rPr>
          <w:rFonts w:ascii="Cambria" w:hAnsi="Cambria"/>
        </w:rPr>
        <w:t>Autoriza a abertura de crédito adicional suplementar</w:t>
      </w:r>
      <w:r w:rsidRPr="00327BD2">
        <w:rPr>
          <w:rFonts w:ascii="Cambria" w:hAnsi="Cambria"/>
        </w:rPr>
        <w:t>.</w:t>
      </w:r>
    </w:p>
    <w:p w14:paraId="20819743" w14:textId="77777777" w:rsidR="00014D42" w:rsidRPr="00162C77" w:rsidRDefault="00014D42" w:rsidP="00014D42">
      <w:pPr>
        <w:pStyle w:val="Standard"/>
        <w:numPr>
          <w:ilvl w:val="0"/>
          <w:numId w:val="3"/>
        </w:numPr>
        <w:spacing w:before="0" w:after="0" w:line="240" w:lineRule="auto"/>
        <w:jc w:val="both"/>
        <w:rPr>
          <w:rFonts w:ascii="Cambria" w:hAnsi="Cambria"/>
          <w:b/>
          <w:bCs/>
          <w:color w:val="000000" w:themeColor="text1"/>
        </w:rPr>
      </w:pPr>
      <w:hyperlink r:id="rId10" w:history="1">
        <w:r w:rsidRPr="00162C77">
          <w:rPr>
            <w:rStyle w:val="Hyperlink"/>
            <w:rFonts w:ascii="Cambria" w:hAnsi="Cambria"/>
            <w:b/>
            <w:bCs/>
            <w:color w:val="000000" w:themeColor="text1"/>
            <w:u w:val="none"/>
          </w:rPr>
          <w:t>Comissão de Legislação, Justiça e Redação Final</w:t>
        </w:r>
      </w:hyperlink>
    </w:p>
    <w:p w14:paraId="2694A209" w14:textId="77777777" w:rsidR="00014D42" w:rsidRPr="00162C77" w:rsidRDefault="00014D42" w:rsidP="00014D42">
      <w:pPr>
        <w:pStyle w:val="Standard"/>
        <w:numPr>
          <w:ilvl w:val="0"/>
          <w:numId w:val="3"/>
        </w:numPr>
        <w:spacing w:before="0" w:line="240" w:lineRule="auto"/>
        <w:jc w:val="both"/>
        <w:rPr>
          <w:rFonts w:ascii="Cambria" w:hAnsi="Cambria"/>
          <w:b/>
          <w:bCs/>
          <w:color w:val="000000" w:themeColor="text1"/>
        </w:rPr>
      </w:pPr>
      <w:hyperlink r:id="rId11" w:history="1">
        <w:r w:rsidRPr="00162C77">
          <w:rPr>
            <w:rStyle w:val="Hyperlink"/>
            <w:rFonts w:ascii="Cambria" w:hAnsi="Cambria"/>
            <w:b/>
            <w:bCs/>
            <w:color w:val="000000" w:themeColor="text1"/>
            <w:u w:val="none"/>
          </w:rPr>
          <w:t>Comissão de Finanças</w:t>
        </w:r>
      </w:hyperlink>
      <w:r w:rsidRPr="00162C77">
        <w:rPr>
          <w:rFonts w:ascii="Cambria" w:hAnsi="Cambria"/>
          <w:b/>
          <w:bCs/>
        </w:rPr>
        <w:t xml:space="preserve"> e Orçamento</w:t>
      </w:r>
    </w:p>
    <w:p w14:paraId="2F18EBB1" w14:textId="52DC375C" w:rsidR="00014D42" w:rsidRDefault="00014D42" w:rsidP="00014D42">
      <w:pPr>
        <w:pStyle w:val="Standard"/>
        <w:spacing w:line="240" w:lineRule="auto"/>
        <w:jc w:val="both"/>
        <w:rPr>
          <w:rFonts w:ascii="Cambria" w:hAnsi="Cambria"/>
        </w:rPr>
      </w:pPr>
      <w:r w:rsidRPr="00303BB5">
        <w:rPr>
          <w:rFonts w:ascii="Cambria" w:hAnsi="Cambria"/>
          <w:b/>
          <w:bCs/>
        </w:rPr>
        <w:t>I</w:t>
      </w:r>
      <w:r>
        <w:rPr>
          <w:rFonts w:ascii="Cambria" w:hAnsi="Cambria"/>
          <w:b/>
          <w:bCs/>
        </w:rPr>
        <w:t>II</w:t>
      </w:r>
      <w:r>
        <w:rPr>
          <w:rFonts w:ascii="Cambria" w:hAnsi="Cambria"/>
          <w:b/>
          <w:bCs/>
        </w:rPr>
        <w:t xml:space="preserve"> </w:t>
      </w:r>
      <w:r w:rsidRPr="00303BB5">
        <w:rPr>
          <w:rFonts w:ascii="Cambria" w:hAnsi="Cambria"/>
          <w:b/>
          <w:bCs/>
        </w:rPr>
        <w:t>–</w:t>
      </w:r>
      <w:r>
        <w:rPr>
          <w:rFonts w:ascii="Cambria" w:hAnsi="Cambria"/>
        </w:rPr>
        <w:t xml:space="preserve"> </w:t>
      </w:r>
      <w:r w:rsidRPr="002F5482">
        <w:rPr>
          <w:rFonts w:ascii="Cambria" w:hAnsi="Cambria"/>
          <w:b/>
          <w:bCs/>
        </w:rPr>
        <w:t xml:space="preserve">PL Nº </w:t>
      </w:r>
      <w:r>
        <w:rPr>
          <w:rFonts w:ascii="Cambria" w:hAnsi="Cambria"/>
          <w:b/>
          <w:bCs/>
        </w:rPr>
        <w:t>10</w:t>
      </w:r>
      <w:r>
        <w:rPr>
          <w:rFonts w:ascii="Cambria" w:hAnsi="Cambria"/>
          <w:b/>
          <w:bCs/>
        </w:rPr>
        <w:t>7</w:t>
      </w:r>
      <w:r w:rsidRPr="002F5482">
        <w:rPr>
          <w:rFonts w:ascii="Cambria" w:hAnsi="Cambria"/>
          <w:b/>
          <w:bCs/>
        </w:rPr>
        <w:t>/2025</w:t>
      </w:r>
      <w:r>
        <w:rPr>
          <w:rFonts w:ascii="Cambria" w:hAnsi="Cambria"/>
        </w:rPr>
        <w:t xml:space="preserve"> – </w:t>
      </w:r>
      <w:r w:rsidRPr="00162C77">
        <w:rPr>
          <w:rFonts w:ascii="Cambria" w:hAnsi="Cambria"/>
        </w:rPr>
        <w:t>Autoriza a abertura de crédito adicional suplementar</w:t>
      </w:r>
      <w:r w:rsidRPr="00327BD2">
        <w:rPr>
          <w:rFonts w:ascii="Cambria" w:hAnsi="Cambria"/>
        </w:rPr>
        <w:t>.</w:t>
      </w:r>
    </w:p>
    <w:p w14:paraId="6A16B685" w14:textId="77777777" w:rsidR="00014D42" w:rsidRPr="00162C77" w:rsidRDefault="00014D42" w:rsidP="00014D42">
      <w:pPr>
        <w:pStyle w:val="Standard"/>
        <w:numPr>
          <w:ilvl w:val="0"/>
          <w:numId w:val="3"/>
        </w:numPr>
        <w:spacing w:before="0" w:after="0" w:line="240" w:lineRule="auto"/>
        <w:jc w:val="both"/>
        <w:rPr>
          <w:rFonts w:ascii="Cambria" w:hAnsi="Cambria"/>
          <w:b/>
          <w:bCs/>
          <w:color w:val="000000" w:themeColor="text1"/>
        </w:rPr>
      </w:pPr>
      <w:hyperlink r:id="rId12" w:history="1">
        <w:r w:rsidRPr="00162C77">
          <w:rPr>
            <w:rStyle w:val="Hyperlink"/>
            <w:rFonts w:ascii="Cambria" w:hAnsi="Cambria"/>
            <w:b/>
            <w:bCs/>
            <w:color w:val="000000" w:themeColor="text1"/>
            <w:u w:val="none"/>
          </w:rPr>
          <w:t>Comissão de Legislação, Justiça e Redação Final</w:t>
        </w:r>
      </w:hyperlink>
    </w:p>
    <w:p w14:paraId="046508A0" w14:textId="77777777" w:rsidR="00014D42" w:rsidRPr="00162C77" w:rsidRDefault="00014D42" w:rsidP="00014D42">
      <w:pPr>
        <w:pStyle w:val="Standard"/>
        <w:numPr>
          <w:ilvl w:val="0"/>
          <w:numId w:val="3"/>
        </w:numPr>
        <w:spacing w:before="0" w:line="240" w:lineRule="auto"/>
        <w:jc w:val="both"/>
        <w:rPr>
          <w:rFonts w:ascii="Cambria" w:hAnsi="Cambria"/>
          <w:b/>
          <w:bCs/>
          <w:color w:val="000000" w:themeColor="text1"/>
        </w:rPr>
      </w:pPr>
      <w:hyperlink r:id="rId13" w:history="1">
        <w:r w:rsidRPr="00162C77">
          <w:rPr>
            <w:rStyle w:val="Hyperlink"/>
            <w:rFonts w:ascii="Cambria" w:hAnsi="Cambria"/>
            <w:b/>
            <w:bCs/>
            <w:color w:val="000000" w:themeColor="text1"/>
            <w:u w:val="none"/>
          </w:rPr>
          <w:t>Comissão de Finanças</w:t>
        </w:r>
      </w:hyperlink>
      <w:r w:rsidRPr="00162C77">
        <w:rPr>
          <w:rFonts w:ascii="Cambria" w:hAnsi="Cambria"/>
          <w:b/>
          <w:bCs/>
        </w:rPr>
        <w:t xml:space="preserve"> e Orçamento</w:t>
      </w:r>
    </w:p>
    <w:p w14:paraId="3308A2B7" w14:textId="1704C4A8" w:rsidR="00014D42" w:rsidRDefault="00014D42" w:rsidP="00014D42">
      <w:pPr>
        <w:pStyle w:val="Standard"/>
        <w:spacing w:line="240" w:lineRule="auto"/>
        <w:jc w:val="both"/>
        <w:rPr>
          <w:rFonts w:ascii="Cambria" w:hAnsi="Cambria"/>
        </w:rPr>
      </w:pPr>
      <w:r w:rsidRPr="00303BB5">
        <w:rPr>
          <w:rFonts w:ascii="Cambria" w:hAnsi="Cambria"/>
          <w:b/>
          <w:bCs/>
        </w:rPr>
        <w:t>I</w:t>
      </w:r>
      <w:r>
        <w:rPr>
          <w:rFonts w:ascii="Cambria" w:hAnsi="Cambria"/>
          <w:b/>
          <w:bCs/>
        </w:rPr>
        <w:t>V</w:t>
      </w:r>
      <w:r>
        <w:rPr>
          <w:rFonts w:ascii="Cambria" w:hAnsi="Cambria"/>
          <w:b/>
          <w:bCs/>
        </w:rPr>
        <w:t xml:space="preserve"> </w:t>
      </w:r>
      <w:r w:rsidRPr="00303BB5">
        <w:rPr>
          <w:rFonts w:ascii="Cambria" w:hAnsi="Cambria"/>
          <w:b/>
          <w:bCs/>
        </w:rPr>
        <w:t>–</w:t>
      </w:r>
      <w:r>
        <w:rPr>
          <w:rFonts w:ascii="Cambria" w:hAnsi="Cambria"/>
        </w:rPr>
        <w:t xml:space="preserve"> </w:t>
      </w:r>
      <w:r w:rsidRPr="002F5482">
        <w:rPr>
          <w:rFonts w:ascii="Cambria" w:hAnsi="Cambria"/>
          <w:b/>
          <w:bCs/>
        </w:rPr>
        <w:t xml:space="preserve">PL Nº </w:t>
      </w:r>
      <w:r>
        <w:rPr>
          <w:rFonts w:ascii="Cambria" w:hAnsi="Cambria"/>
          <w:b/>
          <w:bCs/>
        </w:rPr>
        <w:t>10</w:t>
      </w:r>
      <w:r>
        <w:rPr>
          <w:rFonts w:ascii="Cambria" w:hAnsi="Cambria"/>
          <w:b/>
          <w:bCs/>
        </w:rPr>
        <w:t>8</w:t>
      </w:r>
      <w:r w:rsidRPr="002F5482">
        <w:rPr>
          <w:rFonts w:ascii="Cambria" w:hAnsi="Cambria"/>
          <w:b/>
          <w:bCs/>
        </w:rPr>
        <w:t>/2025</w:t>
      </w:r>
      <w:r>
        <w:rPr>
          <w:rFonts w:ascii="Cambria" w:hAnsi="Cambria"/>
        </w:rPr>
        <w:t xml:space="preserve"> – </w:t>
      </w:r>
      <w:r w:rsidRPr="00162C77">
        <w:rPr>
          <w:rFonts w:ascii="Cambria" w:hAnsi="Cambria"/>
        </w:rPr>
        <w:t>Autoriza a abertura de crédito adicional suplementar</w:t>
      </w:r>
      <w:r w:rsidRPr="00327BD2">
        <w:rPr>
          <w:rFonts w:ascii="Cambria" w:hAnsi="Cambria"/>
        </w:rPr>
        <w:t>.</w:t>
      </w:r>
    </w:p>
    <w:p w14:paraId="6D570FFC" w14:textId="77777777" w:rsidR="00014D42" w:rsidRPr="00162C77" w:rsidRDefault="00014D42" w:rsidP="00014D42">
      <w:pPr>
        <w:pStyle w:val="Standard"/>
        <w:numPr>
          <w:ilvl w:val="0"/>
          <w:numId w:val="3"/>
        </w:numPr>
        <w:spacing w:before="0" w:after="0" w:line="240" w:lineRule="auto"/>
        <w:jc w:val="both"/>
        <w:rPr>
          <w:rFonts w:ascii="Cambria" w:hAnsi="Cambria"/>
          <w:b/>
          <w:bCs/>
          <w:color w:val="000000" w:themeColor="text1"/>
        </w:rPr>
      </w:pPr>
      <w:hyperlink r:id="rId14" w:history="1">
        <w:r w:rsidRPr="00162C77">
          <w:rPr>
            <w:rStyle w:val="Hyperlink"/>
            <w:rFonts w:ascii="Cambria" w:hAnsi="Cambria"/>
            <w:b/>
            <w:bCs/>
            <w:color w:val="000000" w:themeColor="text1"/>
            <w:u w:val="none"/>
          </w:rPr>
          <w:t>Comissão de Legislação, Justiça e Redação Final</w:t>
        </w:r>
      </w:hyperlink>
    </w:p>
    <w:p w14:paraId="400D17A7" w14:textId="77777777" w:rsidR="00014D42" w:rsidRPr="00162C77" w:rsidRDefault="00014D42" w:rsidP="00014D42">
      <w:pPr>
        <w:pStyle w:val="Standard"/>
        <w:numPr>
          <w:ilvl w:val="0"/>
          <w:numId w:val="3"/>
        </w:numPr>
        <w:spacing w:before="0" w:line="240" w:lineRule="auto"/>
        <w:jc w:val="both"/>
        <w:rPr>
          <w:rFonts w:ascii="Cambria" w:hAnsi="Cambria"/>
          <w:b/>
          <w:bCs/>
          <w:color w:val="000000" w:themeColor="text1"/>
        </w:rPr>
      </w:pPr>
      <w:hyperlink r:id="rId15" w:history="1">
        <w:r w:rsidRPr="00162C77">
          <w:rPr>
            <w:rStyle w:val="Hyperlink"/>
            <w:rFonts w:ascii="Cambria" w:hAnsi="Cambria"/>
            <w:b/>
            <w:bCs/>
            <w:color w:val="000000" w:themeColor="text1"/>
            <w:u w:val="none"/>
          </w:rPr>
          <w:t>Comissão de Finanças</w:t>
        </w:r>
      </w:hyperlink>
      <w:r w:rsidRPr="00162C77">
        <w:rPr>
          <w:rFonts w:ascii="Cambria" w:hAnsi="Cambria"/>
          <w:b/>
          <w:bCs/>
        </w:rPr>
        <w:t xml:space="preserve"> e Orçamento</w:t>
      </w:r>
    </w:p>
    <w:p w14:paraId="51514B17" w14:textId="6E0CC8EF" w:rsidR="00014D42" w:rsidRDefault="00014D42" w:rsidP="00014D42">
      <w:pPr>
        <w:pStyle w:val="Standard"/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V</w:t>
      </w:r>
      <w:r>
        <w:rPr>
          <w:rFonts w:ascii="Cambria" w:hAnsi="Cambria"/>
          <w:b/>
          <w:bCs/>
        </w:rPr>
        <w:t xml:space="preserve"> </w:t>
      </w:r>
      <w:r w:rsidRPr="00303BB5">
        <w:rPr>
          <w:rFonts w:ascii="Cambria" w:hAnsi="Cambria"/>
          <w:b/>
          <w:bCs/>
        </w:rPr>
        <w:t>–</w:t>
      </w:r>
      <w:r>
        <w:rPr>
          <w:rFonts w:ascii="Cambria" w:hAnsi="Cambria"/>
        </w:rPr>
        <w:t xml:space="preserve"> </w:t>
      </w:r>
      <w:r w:rsidRPr="002F5482">
        <w:rPr>
          <w:rFonts w:ascii="Cambria" w:hAnsi="Cambria"/>
          <w:b/>
          <w:bCs/>
        </w:rPr>
        <w:t xml:space="preserve">PL Nº </w:t>
      </w:r>
      <w:r>
        <w:rPr>
          <w:rFonts w:ascii="Cambria" w:hAnsi="Cambria"/>
          <w:b/>
          <w:bCs/>
        </w:rPr>
        <w:t>10</w:t>
      </w:r>
      <w:r>
        <w:rPr>
          <w:rFonts w:ascii="Cambria" w:hAnsi="Cambria"/>
          <w:b/>
          <w:bCs/>
        </w:rPr>
        <w:t>9</w:t>
      </w:r>
      <w:r w:rsidRPr="002F5482">
        <w:rPr>
          <w:rFonts w:ascii="Cambria" w:hAnsi="Cambria"/>
          <w:b/>
          <w:bCs/>
        </w:rPr>
        <w:t>/2025</w:t>
      </w:r>
      <w:r>
        <w:rPr>
          <w:rFonts w:ascii="Cambria" w:hAnsi="Cambria"/>
        </w:rPr>
        <w:t xml:space="preserve"> – </w:t>
      </w:r>
      <w:r w:rsidRPr="00162C77">
        <w:rPr>
          <w:rFonts w:ascii="Cambria" w:hAnsi="Cambria"/>
        </w:rPr>
        <w:t>Autoriza a abertura de crédito adicional suplementar</w:t>
      </w:r>
      <w:r w:rsidRPr="00327BD2">
        <w:rPr>
          <w:rFonts w:ascii="Cambria" w:hAnsi="Cambria"/>
        </w:rPr>
        <w:t>.</w:t>
      </w:r>
    </w:p>
    <w:p w14:paraId="36BAA100" w14:textId="77777777" w:rsidR="00014D42" w:rsidRPr="00162C77" w:rsidRDefault="00014D42" w:rsidP="00014D42">
      <w:pPr>
        <w:pStyle w:val="Standard"/>
        <w:numPr>
          <w:ilvl w:val="0"/>
          <w:numId w:val="3"/>
        </w:numPr>
        <w:spacing w:before="0" w:after="0" w:line="240" w:lineRule="auto"/>
        <w:jc w:val="both"/>
        <w:rPr>
          <w:rFonts w:ascii="Cambria" w:hAnsi="Cambria"/>
          <w:b/>
          <w:bCs/>
          <w:color w:val="000000" w:themeColor="text1"/>
        </w:rPr>
      </w:pPr>
      <w:hyperlink r:id="rId16" w:history="1">
        <w:r w:rsidRPr="00162C77">
          <w:rPr>
            <w:rStyle w:val="Hyperlink"/>
            <w:rFonts w:ascii="Cambria" w:hAnsi="Cambria"/>
            <w:b/>
            <w:bCs/>
            <w:color w:val="000000" w:themeColor="text1"/>
            <w:u w:val="none"/>
          </w:rPr>
          <w:t>Comissão de Legislação, Justiça e Redação Final</w:t>
        </w:r>
      </w:hyperlink>
    </w:p>
    <w:p w14:paraId="420A07B3" w14:textId="11DC676C" w:rsidR="00162C77" w:rsidRPr="00014D42" w:rsidRDefault="00014D42" w:rsidP="00162C77">
      <w:pPr>
        <w:pStyle w:val="Standard"/>
        <w:numPr>
          <w:ilvl w:val="0"/>
          <w:numId w:val="3"/>
        </w:numPr>
        <w:spacing w:before="0" w:after="0" w:line="240" w:lineRule="auto"/>
        <w:jc w:val="both"/>
        <w:rPr>
          <w:rFonts w:ascii="Cambria" w:hAnsi="Cambria"/>
          <w:b/>
          <w:bCs/>
          <w:color w:val="000000" w:themeColor="text1"/>
        </w:rPr>
      </w:pPr>
      <w:hyperlink r:id="rId17" w:history="1">
        <w:r w:rsidRPr="00014D42">
          <w:rPr>
            <w:rStyle w:val="Hyperlink"/>
            <w:rFonts w:ascii="Cambria" w:hAnsi="Cambria"/>
            <w:b/>
            <w:bCs/>
            <w:color w:val="000000" w:themeColor="text1"/>
            <w:u w:val="none"/>
          </w:rPr>
          <w:t>Comissão de Finanças</w:t>
        </w:r>
      </w:hyperlink>
      <w:r w:rsidRPr="00014D42">
        <w:rPr>
          <w:rFonts w:ascii="Cambria" w:hAnsi="Cambria"/>
          <w:b/>
          <w:bCs/>
        </w:rPr>
        <w:t xml:space="preserve"> e Orçamento</w:t>
      </w:r>
    </w:p>
    <w:p w14:paraId="15D64522" w14:textId="77777777" w:rsidR="00162C77" w:rsidRDefault="00162C77" w:rsidP="00162C77">
      <w:pPr>
        <w:pStyle w:val="Standard"/>
        <w:spacing w:before="0" w:after="0" w:line="240" w:lineRule="auto"/>
        <w:jc w:val="both"/>
        <w:rPr>
          <w:rFonts w:ascii="Cambria" w:hAnsi="Cambria"/>
          <w:b/>
          <w:bCs/>
          <w:color w:val="000000" w:themeColor="text1"/>
        </w:rPr>
      </w:pPr>
    </w:p>
    <w:p w14:paraId="5826DA6E" w14:textId="77777777" w:rsidR="00162C77" w:rsidRDefault="00162C77" w:rsidP="00162C77">
      <w:pPr>
        <w:pStyle w:val="Standard"/>
        <w:spacing w:before="0" w:after="0" w:line="240" w:lineRule="auto"/>
        <w:jc w:val="both"/>
        <w:rPr>
          <w:rFonts w:ascii="Cambria" w:hAnsi="Cambria"/>
          <w:b/>
          <w:bCs/>
          <w:color w:val="000000" w:themeColor="text1"/>
        </w:rPr>
      </w:pPr>
    </w:p>
    <w:p w14:paraId="659686D3" w14:textId="29428782" w:rsidR="00162C77" w:rsidRPr="008335CB" w:rsidRDefault="00162C77" w:rsidP="00162C77">
      <w:pPr>
        <w:pStyle w:val="Standard"/>
        <w:spacing w:before="0"/>
        <w:jc w:val="right"/>
        <w:rPr>
          <w:rFonts w:ascii="Cambria" w:hAnsi="Cambria"/>
        </w:rPr>
      </w:pPr>
      <w:r>
        <w:rPr>
          <w:rFonts w:ascii="Cambria" w:hAnsi="Cambria"/>
        </w:rPr>
        <w:t>Sala das Comissões, 2</w:t>
      </w:r>
      <w:r>
        <w:rPr>
          <w:rFonts w:ascii="Cambria" w:hAnsi="Cambria"/>
        </w:rPr>
        <w:t>8</w:t>
      </w:r>
      <w:r>
        <w:rPr>
          <w:rFonts w:ascii="Cambria" w:hAnsi="Cambria"/>
        </w:rPr>
        <w:t xml:space="preserve"> de</w:t>
      </w:r>
      <w:r>
        <w:rPr>
          <w:rFonts w:ascii="Cambria" w:hAnsi="Cambria"/>
        </w:rPr>
        <w:t xml:space="preserve"> outubro</w:t>
      </w:r>
      <w:r>
        <w:rPr>
          <w:rFonts w:ascii="Cambria" w:hAnsi="Cambria"/>
        </w:rPr>
        <w:t xml:space="preserve"> de 2025</w:t>
      </w:r>
    </w:p>
    <w:p w14:paraId="7BDDBA2B" w14:textId="77777777" w:rsidR="00162C77" w:rsidRDefault="00162C77" w:rsidP="00162C77">
      <w:pPr>
        <w:pStyle w:val="Standard"/>
        <w:spacing w:before="0"/>
        <w:rPr>
          <w:rFonts w:ascii="Cambria" w:hAnsi="Cambria"/>
          <w:sz w:val="16"/>
          <w:szCs w:val="16"/>
        </w:rPr>
      </w:pPr>
    </w:p>
    <w:p w14:paraId="2578C392" w14:textId="7E38FFA6" w:rsidR="00B94405" w:rsidRPr="00162C77" w:rsidRDefault="00162C77" w:rsidP="00162C77">
      <w:pPr>
        <w:pStyle w:val="Standard"/>
        <w:spacing w:before="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C3C7F" wp14:editId="461AFBA2">
                <wp:simplePos x="0" y="0"/>
                <wp:positionH relativeFrom="margin">
                  <wp:posOffset>3140710</wp:posOffset>
                </wp:positionH>
                <wp:positionV relativeFrom="paragraph">
                  <wp:posOffset>8890</wp:posOffset>
                </wp:positionV>
                <wp:extent cx="2392680" cy="0"/>
                <wp:effectExtent l="0" t="0" r="0" b="0"/>
                <wp:wrapNone/>
                <wp:docPr id="15770809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43A7DE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7.3pt,.7pt" to="435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" strokecolor="black [3213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1523EA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2321C6E" wp14:editId="2386173D">
                <wp:simplePos x="0" y="0"/>
                <wp:positionH relativeFrom="margin">
                  <wp:posOffset>3027045</wp:posOffset>
                </wp:positionH>
                <wp:positionV relativeFrom="paragraph">
                  <wp:posOffset>16510</wp:posOffset>
                </wp:positionV>
                <wp:extent cx="2644140" cy="1404620"/>
                <wp:effectExtent l="0" t="0" r="22860" b="24130"/>
                <wp:wrapNone/>
                <wp:docPr id="11255140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34481" w14:textId="77777777" w:rsidR="00162C77" w:rsidRPr="00190823" w:rsidRDefault="00162C77" w:rsidP="00162C77">
                            <w:pPr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90823">
                              <w:rPr>
                                <w:rFonts w:ascii="Cambria" w:hAnsi="Cambria"/>
                                <w:b/>
                                <w:bCs/>
                              </w:rPr>
                              <w:t>Mário Hermínio da Silva Carvalho</w:t>
                            </w:r>
                          </w:p>
                          <w:p w14:paraId="6007D211" w14:textId="77777777" w:rsidR="00162C77" w:rsidRPr="00DE39C0" w:rsidRDefault="00162C77" w:rsidP="00162C77">
                            <w:pPr>
                              <w:pStyle w:val="Standard"/>
                              <w:spacing w:before="0" w:after="0"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7C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Presidente da </w:t>
                            </w:r>
                            <w:hyperlink r:id="rId18" w:history="1">
                              <w:r w:rsidRPr="00162C77">
                                <w:rPr>
                                  <w:rStyle w:val="Hyperlink"/>
                                  <w:rFonts w:ascii="Cambria" w:hAnsi="Cambria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 xml:space="preserve">Comissão de </w:t>
                              </w:r>
                            </w:hyperlink>
                            <w:r w:rsidRPr="00162C77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Finanças e Orçamento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321C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8.35pt;margin-top:1.3pt;width:208.2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" strokecolor="white [3212]">
                <v:textbox style="mso-fit-shape-to-text:t">
                  <w:txbxContent>
                    <w:p w14:paraId="2C234481" w14:textId="77777777" w:rsidR="00162C77" w:rsidRPr="00190823" w:rsidRDefault="00162C77" w:rsidP="00162C77">
                      <w:pPr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90823">
                        <w:rPr>
                          <w:rFonts w:ascii="Cambria" w:hAnsi="Cambria"/>
                          <w:b/>
                          <w:bCs/>
                        </w:rPr>
                        <w:t>Mário Hermínio da Silva Carvalho</w:t>
                      </w:r>
                    </w:p>
                    <w:p w14:paraId="6007D211" w14:textId="77777777" w:rsidR="00162C77" w:rsidRPr="00DE39C0" w:rsidRDefault="00162C77" w:rsidP="00162C77">
                      <w:pPr>
                        <w:pStyle w:val="Standard"/>
                        <w:spacing w:before="0" w:after="0" w:line="240" w:lineRule="auto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7C0C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Presidente da </w:t>
                      </w:r>
                      <w:hyperlink r:id="rId19" w:history="1">
                        <w:r w:rsidRPr="00162C77">
                          <w:rPr>
                            <w:rStyle w:val="Hyperlink"/>
                            <w:rFonts w:ascii="Cambria" w:hAnsi="Cambria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 xml:space="preserve">Comissão de </w:t>
                        </w:r>
                      </w:hyperlink>
                      <w:r w:rsidRPr="00162C77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Finanças e Orçamento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D26DB" wp14:editId="7F386264">
                <wp:simplePos x="0" y="0"/>
                <wp:positionH relativeFrom="column">
                  <wp:posOffset>47625</wp:posOffset>
                </wp:positionH>
                <wp:positionV relativeFrom="paragraph">
                  <wp:posOffset>10160</wp:posOffset>
                </wp:positionV>
                <wp:extent cx="2392680" cy="0"/>
                <wp:effectExtent l="0" t="0" r="0" b="0"/>
                <wp:wrapNone/>
                <wp:docPr id="120776890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204483" id="Conector re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.8pt" to="192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Pr="001523EA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23976E" wp14:editId="3D752F9A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2941320" cy="1404620"/>
                <wp:effectExtent l="0" t="0" r="11430" b="1651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09C7A" w14:textId="77777777" w:rsidR="00162C77" w:rsidRPr="004C5586" w:rsidRDefault="00162C77" w:rsidP="00162C77">
                            <w:pPr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4C5586">
                              <w:rPr>
                                <w:rFonts w:ascii="Cambria" w:hAnsi="Cambria"/>
                                <w:b/>
                                <w:bCs/>
                              </w:rPr>
                              <w:t>Roberto Horta Jardim Salles</w:t>
                            </w:r>
                          </w:p>
                          <w:p w14:paraId="4D9FBC1A" w14:textId="77777777" w:rsidR="00162C77" w:rsidRDefault="00162C77" w:rsidP="00162C77">
                            <w:pPr>
                              <w:pStyle w:val="Standard"/>
                              <w:spacing w:before="0"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4C558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Presidente da </w:t>
                            </w:r>
                            <w:hyperlink r:id="rId20" w:history="1">
                              <w:r w:rsidRPr="00162C77">
                                <w:rPr>
                                  <w:rStyle w:val="Hyperlink"/>
                                  <w:rFonts w:ascii="Cambria" w:hAnsi="Cambria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 xml:space="preserve">Comissão de </w:t>
                              </w:r>
                            </w:hyperlink>
                            <w:r w:rsidRPr="00162C77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Legislação</w:t>
                            </w:r>
                            <w:r w:rsidRPr="004C558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704FC988" w14:textId="245257DF" w:rsidR="00162C77" w:rsidRPr="00162C77" w:rsidRDefault="00162C77" w:rsidP="00162C77">
                            <w:pPr>
                              <w:pStyle w:val="Standard"/>
                              <w:spacing w:before="0" w:after="0" w:line="240" w:lineRule="auto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558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Justiça e Redação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23976E" id="_x0000_s1027" type="#_x0000_t202" style="position:absolute;margin-left:0;margin-top:3.1pt;width:231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" strokecolor="white [3212]">
                <v:textbox style="mso-fit-shape-to-text:t">
                  <w:txbxContent>
                    <w:p w14:paraId="15A09C7A" w14:textId="77777777" w:rsidR="00162C77" w:rsidRPr="004C5586" w:rsidRDefault="00162C77" w:rsidP="00162C77">
                      <w:pPr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4C5586">
                        <w:rPr>
                          <w:rFonts w:ascii="Cambria" w:hAnsi="Cambria"/>
                          <w:b/>
                          <w:bCs/>
                        </w:rPr>
                        <w:t>Roberto Horta Jardim Salles</w:t>
                      </w:r>
                    </w:p>
                    <w:p w14:paraId="4D9FBC1A" w14:textId="77777777" w:rsidR="00162C77" w:rsidRDefault="00162C77" w:rsidP="00162C77">
                      <w:pPr>
                        <w:pStyle w:val="Standard"/>
                        <w:spacing w:before="0" w:after="0" w:line="24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4C5586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Presidente da </w:t>
                      </w:r>
                      <w:hyperlink r:id="rId21" w:history="1">
                        <w:r w:rsidRPr="00162C77">
                          <w:rPr>
                            <w:rStyle w:val="Hyperlink"/>
                            <w:rFonts w:ascii="Cambria" w:hAnsi="Cambria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 xml:space="preserve">Comissão de </w:t>
                        </w:r>
                      </w:hyperlink>
                      <w:r w:rsidRPr="00162C77">
                        <w:rPr>
                          <w:rFonts w:ascii="Cambria" w:hAnsi="Cambria"/>
                          <w:sz w:val="20"/>
                          <w:szCs w:val="20"/>
                        </w:rPr>
                        <w:t>Legislação</w:t>
                      </w:r>
                      <w:r w:rsidRPr="004C5586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704FC988" w14:textId="245257DF" w:rsidR="00162C77" w:rsidRPr="00162C77" w:rsidRDefault="00162C77" w:rsidP="00162C77">
                      <w:pPr>
                        <w:pStyle w:val="Standard"/>
                        <w:spacing w:before="0" w:after="0" w:line="240" w:lineRule="auto"/>
                        <w:rPr>
                          <w:rFonts w:ascii="Cambria" w:hAnsi="Cambria"/>
                          <w:color w:val="000000" w:themeColor="text1"/>
                          <w:sz w:val="20"/>
                          <w:szCs w:val="20"/>
                        </w:rPr>
                      </w:pPr>
                      <w:r w:rsidRPr="004C5586">
                        <w:rPr>
                          <w:rFonts w:ascii="Cambria" w:hAnsi="Cambria"/>
                          <w:sz w:val="20"/>
                          <w:szCs w:val="20"/>
                        </w:rPr>
                        <w:t>Justiça e Redação Final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0FA103" w14:textId="77777777" w:rsidR="00A373F3" w:rsidRDefault="00A373F3" w:rsidP="00A373F3">
      <w:pPr>
        <w:pStyle w:val="PargrafodaLista"/>
        <w:spacing w:line="360" w:lineRule="auto"/>
        <w:jc w:val="both"/>
        <w:rPr>
          <w:rFonts w:ascii="Arial" w:hAnsi="Arial" w:cs="Arial"/>
        </w:rPr>
      </w:pPr>
    </w:p>
    <w:sectPr w:rsidR="00A373F3" w:rsidSect="00BA1D35">
      <w:headerReference w:type="default" r:id="rId22"/>
      <w:footerReference w:type="default" r:id="rId23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4F3C" w14:textId="77777777" w:rsidR="008259E0" w:rsidRDefault="008259E0">
      <w:pPr>
        <w:spacing w:line="240" w:lineRule="auto"/>
      </w:pPr>
      <w:r>
        <w:separator/>
      </w:r>
    </w:p>
  </w:endnote>
  <w:endnote w:type="continuationSeparator" w:id="0">
    <w:p w14:paraId="7783FA6B" w14:textId="77777777" w:rsidR="008259E0" w:rsidRDefault="00825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8EEF" w14:textId="77777777" w:rsidR="003E3AF0" w:rsidRDefault="00014D42">
    <w:pPr>
      <w:jc w:val="right"/>
    </w:pPr>
    <w:r>
      <w:rPr>
        <w:noProof/>
      </w:rPr>
      <w:drawing>
        <wp:inline distT="114300" distB="114300" distL="114300" distR="114300" wp14:anchorId="5A0836DE" wp14:editId="082DB85F">
          <wp:extent cx="5731200" cy="393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 w:rsidR="001F74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1451" w14:textId="77777777" w:rsidR="008259E0" w:rsidRDefault="008259E0">
      <w:pPr>
        <w:spacing w:line="240" w:lineRule="auto"/>
      </w:pPr>
      <w:r>
        <w:separator/>
      </w:r>
    </w:p>
  </w:footnote>
  <w:footnote w:type="continuationSeparator" w:id="0">
    <w:p w14:paraId="4138FFB5" w14:textId="77777777" w:rsidR="008259E0" w:rsidRDefault="008259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839C" w14:textId="0F6092C6" w:rsidR="003E3AF0" w:rsidRDefault="00014D42">
    <w:r>
      <w:rPr>
        <w:noProof/>
      </w:rPr>
      <w:drawing>
        <wp:anchor distT="0" distB="0" distL="0" distR="0" simplePos="0" relativeHeight="251656704" behindDoc="0" locked="0" layoutInCell="1" hidden="0" allowOverlap="1" wp14:anchorId="0164CB19" wp14:editId="12D024D3">
          <wp:simplePos x="0" y="0"/>
          <wp:positionH relativeFrom="page">
            <wp:posOffset>912975</wp:posOffset>
          </wp:positionH>
          <wp:positionV relativeFrom="page">
            <wp:posOffset>981075</wp:posOffset>
          </wp:positionV>
          <wp:extent cx="5731200" cy="393700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hidden="0" allowOverlap="1" wp14:anchorId="5621629B" wp14:editId="59D0C33D">
          <wp:simplePos x="0" y="0"/>
          <wp:positionH relativeFrom="page">
            <wp:posOffset>2136938</wp:posOffset>
          </wp:positionH>
          <wp:positionV relativeFrom="page">
            <wp:posOffset>257175</wp:posOffset>
          </wp:positionV>
          <wp:extent cx="3290599" cy="719138"/>
          <wp:effectExtent l="0" t="0" r="0" b="0"/>
          <wp:wrapTopAndBottom distT="0" dist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41090" b="41622"/>
                  <a:stretch>
                    <a:fillRect/>
                  </a:stretch>
                </pic:blipFill>
                <pic:spPr>
                  <a:xfrm>
                    <a:off x="0" y="0"/>
                    <a:ext cx="3290599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08A5"/>
    <w:multiLevelType w:val="hybridMultilevel"/>
    <w:tmpl w:val="7424E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37910"/>
    <w:multiLevelType w:val="hybridMultilevel"/>
    <w:tmpl w:val="046AC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84CE7"/>
    <w:multiLevelType w:val="hybridMultilevel"/>
    <w:tmpl w:val="FB7C7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65006">
    <w:abstractNumId w:val="1"/>
  </w:num>
  <w:num w:numId="2" w16cid:durableId="1975596944">
    <w:abstractNumId w:val="2"/>
  </w:num>
  <w:num w:numId="3" w16cid:durableId="106633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F0"/>
    <w:rsid w:val="00014D42"/>
    <w:rsid w:val="000C0C52"/>
    <w:rsid w:val="00162C77"/>
    <w:rsid w:val="001F74BC"/>
    <w:rsid w:val="0024259E"/>
    <w:rsid w:val="003E3AF0"/>
    <w:rsid w:val="00761DA0"/>
    <w:rsid w:val="008259E0"/>
    <w:rsid w:val="00867260"/>
    <w:rsid w:val="00A373F3"/>
    <w:rsid w:val="00B87615"/>
    <w:rsid w:val="00B94405"/>
    <w:rsid w:val="00BA1D35"/>
    <w:rsid w:val="00F2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81408"/>
  <w15:docId w15:val="{7664170B-6F39-4EDE-8554-5953D30D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A373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table" w:styleId="Tabelacomgrade">
    <w:name w:val="Table Grid"/>
    <w:basedOn w:val="Tabelanormal"/>
    <w:uiPriority w:val="39"/>
    <w:rsid w:val="00A373F3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2C77"/>
    <w:pPr>
      <w:suppressAutoHyphens/>
      <w:autoSpaceDN w:val="0"/>
      <w:spacing w:before="280" w:after="280" w:line="360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162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irai.rj.leg.br/comissao/2" TargetMode="External"/><Relationship Id="rId13" Type="http://schemas.openxmlformats.org/officeDocument/2006/relationships/hyperlink" Target="https://sapl.pirai.rj.leg.br/comissao/2" TargetMode="External"/><Relationship Id="rId18" Type="http://schemas.openxmlformats.org/officeDocument/2006/relationships/hyperlink" Target="https://sapl.pirai.rj.leg.br/comissao/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pirai.rj.leg.br/comissao/5" TargetMode="External"/><Relationship Id="rId7" Type="http://schemas.openxmlformats.org/officeDocument/2006/relationships/hyperlink" Target="https://sapl.pirai.rj.leg.br/comissao/5" TargetMode="External"/><Relationship Id="rId12" Type="http://schemas.openxmlformats.org/officeDocument/2006/relationships/hyperlink" Target="https://sapl.pirai.rj.leg.br/comissao/2" TargetMode="External"/><Relationship Id="rId17" Type="http://schemas.openxmlformats.org/officeDocument/2006/relationships/hyperlink" Target="https://sapl.pirai.rj.leg.br/comissao/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apl.pirai.rj.leg.br/comissao/2" TargetMode="External"/><Relationship Id="rId20" Type="http://schemas.openxmlformats.org/officeDocument/2006/relationships/hyperlink" Target="https://sapl.pirai.rj.leg.br/comissao/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pl.pirai.rj.leg.br/comissao/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apl.pirai.rj.leg.br/comissao/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apl.pirai.rj.leg.br/comissao/2" TargetMode="External"/><Relationship Id="rId19" Type="http://schemas.openxmlformats.org/officeDocument/2006/relationships/hyperlink" Target="https://sapl.pirai.rj.leg.br/comissao/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pirai.rj.leg.br/comissao/2" TargetMode="External"/><Relationship Id="rId14" Type="http://schemas.openxmlformats.org/officeDocument/2006/relationships/hyperlink" Target="https://sapl.pirai.rj.leg.br/comissao/2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Júnior</dc:creator>
  <cp:lastModifiedBy>Charles de Abreu Batista</cp:lastModifiedBy>
  <cp:revision>2</cp:revision>
  <cp:lastPrinted>2025-10-14T13:47:00Z</cp:lastPrinted>
  <dcterms:created xsi:type="dcterms:W3CDTF">2025-10-28T19:25:00Z</dcterms:created>
  <dcterms:modified xsi:type="dcterms:W3CDTF">2025-10-28T19:25:00Z</dcterms:modified>
</cp:coreProperties>
</file>